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480" w:lineRule="atLeast"/>
        <w:ind w:left="316" w:right="316"/>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rPr>
        <w:t>福建省食品药品监督管理局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480" w:lineRule="atLeast"/>
        <w:ind w:left="316" w:right="316"/>
        <w:jc w:val="center"/>
        <w:rPr>
          <w:rFonts w:hint="eastAsia" w:ascii="方正小标宋_GBK" w:hAnsi="方正小标宋_GBK" w:eastAsia="方正小标宋_GBK" w:cs="方正小标宋_GBK"/>
          <w:b w:val="0"/>
          <w:color w:val="000000"/>
          <w:sz w:val="44"/>
          <w:szCs w:val="44"/>
        </w:rPr>
      </w:pPr>
      <w:r>
        <w:rPr>
          <w:rFonts w:hint="eastAsia" w:ascii="方正小标宋_GBK" w:hAnsi="方正小标宋_GBK" w:eastAsia="方正小标宋_GBK" w:cs="方正小标宋_GBK"/>
          <w:b w:val="0"/>
          <w:i w:val="0"/>
          <w:caps w:val="0"/>
          <w:color w:val="000000"/>
          <w:spacing w:val="0"/>
          <w:sz w:val="44"/>
          <w:szCs w:val="44"/>
        </w:rPr>
        <w:t>关于印发全省麻醉药品和第一类精神药品区域性批发企业调整方案的通知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right"/>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闽食药监市〔2013〕37号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各设市食品药品监督管理局：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　　根据国家食品药品监管局《关于调整麻醉药品和第一类精神药品区域性批发企业布局的通知》（国食药监安〔2012〕362号）精神，结合我省实际，省局制定了《全省麻醉药品和第一类精神药品区域性批发企业调整方案》，现印发给你们，请及时将调整要求通知辖区内药品批发企业,并认真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　　调整过程中如有问题和建议，请及时与省局药品市场监管处联系。联系人：黄剑达，电话：0591-86295251，电子邮箱：HUANGJIANDA@FJFDA.GOV.CN。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600" w:right="0" w:hanging="16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    附件：</w:t>
      </w:r>
      <w:r>
        <w:rPr>
          <w:rFonts w:hint="eastAsia" w:ascii="仿宋_GB2312" w:hAnsi="仿宋_GB2312" w:eastAsia="仿宋_GB2312" w:cs="仿宋_GB2312"/>
          <w:i w:val="0"/>
          <w:caps w:val="0"/>
          <w:color w:val="333333"/>
          <w:spacing w:val="0"/>
          <w:kern w:val="0"/>
          <w:sz w:val="32"/>
          <w:szCs w:val="32"/>
          <w:u w:val="none"/>
          <w:lang w:val="en-US" w:eastAsia="zh-CN" w:bidi="ar"/>
        </w:rPr>
        <w:fldChar w:fldCharType="begin"/>
      </w:r>
      <w:r>
        <w:rPr>
          <w:rFonts w:hint="eastAsia" w:ascii="仿宋_GB2312" w:hAnsi="仿宋_GB2312" w:eastAsia="仿宋_GB2312" w:cs="仿宋_GB2312"/>
          <w:i w:val="0"/>
          <w:caps w:val="0"/>
          <w:color w:val="333333"/>
          <w:spacing w:val="0"/>
          <w:kern w:val="0"/>
          <w:sz w:val="32"/>
          <w:szCs w:val="32"/>
          <w:u w:val="none"/>
          <w:lang w:val="en-US" w:eastAsia="zh-CN" w:bidi="ar"/>
        </w:rPr>
        <w:instrText xml:space="preserve"> HYPERLINK "http://www.sfda.gov.cn/WS01/CL0844/76686.html" \t "http://yjj.scjgj.fujian.gov.cn/zwgk/zfxxgkzl/zfxxgkml/zcgfwj/201303/_blank" </w:instrText>
      </w:r>
      <w:r>
        <w:rPr>
          <w:rFonts w:hint="eastAsia" w:ascii="仿宋_GB2312" w:hAnsi="仿宋_GB2312" w:eastAsia="仿宋_GB2312" w:cs="仿宋_GB2312"/>
          <w:i w:val="0"/>
          <w:caps w:val="0"/>
          <w:color w:val="333333"/>
          <w:spacing w:val="0"/>
          <w:kern w:val="0"/>
          <w:sz w:val="32"/>
          <w:szCs w:val="32"/>
          <w:u w:val="none"/>
          <w:lang w:val="en-US" w:eastAsia="zh-CN" w:bidi="ar"/>
        </w:rPr>
        <w:fldChar w:fldCharType="separate"/>
      </w:r>
      <w:r>
        <w:rPr>
          <w:rStyle w:val="6"/>
          <w:rFonts w:hint="eastAsia" w:ascii="仿宋_GB2312" w:hAnsi="仿宋_GB2312" w:eastAsia="仿宋_GB2312" w:cs="仿宋_GB2312"/>
          <w:i w:val="0"/>
          <w:caps w:val="0"/>
          <w:color w:val="333333"/>
          <w:spacing w:val="0"/>
          <w:sz w:val="32"/>
          <w:szCs w:val="32"/>
          <w:u w:val="none"/>
        </w:rPr>
        <w:t>国家食品药品监管局关于调整麻醉药品和第一类精神药品区域性批发企业布局的通知</w:t>
      </w:r>
      <w:r>
        <w:rPr>
          <w:rFonts w:hint="eastAsia" w:ascii="仿宋_GB2312" w:hAnsi="仿宋_GB2312" w:eastAsia="仿宋_GB2312" w:cs="仿宋_GB2312"/>
          <w:i w:val="0"/>
          <w:caps w:val="0"/>
          <w:color w:val="333333"/>
          <w:spacing w:val="0"/>
          <w:kern w:val="0"/>
          <w:sz w:val="32"/>
          <w:szCs w:val="32"/>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right"/>
        <w:rPr>
          <w:rFonts w:hint="default" w:ascii="仿宋_GB2312" w:hAnsi="仿宋_GB2312" w:eastAsia="仿宋_GB2312" w:cs="仿宋_GB2312"/>
          <w:i w:val="0"/>
          <w:caps w:val="0"/>
          <w:color w:val="333333"/>
          <w:spacing w:val="0"/>
          <w:kern w:val="0"/>
          <w:sz w:val="32"/>
          <w:szCs w:val="32"/>
          <w:lang w:val="en-US" w:eastAsia="zh-CN" w:bidi="ar"/>
        </w:rPr>
      </w:pPr>
      <w:r>
        <w:rPr>
          <w:rFonts w:hint="default" w:ascii="仿宋_GB2312" w:hAnsi="仿宋_GB2312" w:eastAsia="仿宋_GB2312" w:cs="仿宋_GB2312"/>
          <w:i w:val="0"/>
          <w:caps w:val="0"/>
          <w:color w:val="333333"/>
          <w:spacing w:val="0"/>
          <w:kern w:val="0"/>
          <w:sz w:val="32"/>
          <w:szCs w:val="32"/>
          <w:lang w:val="en-US" w:eastAsia="zh-CN" w:bidi="ar"/>
        </w:rPr>
        <w:t>福建省食品药品监督管理局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right"/>
        <w:rPr>
          <w:rFonts w:hint="default" w:ascii="仿宋_GB2312" w:hAnsi="仿宋_GB2312" w:eastAsia="仿宋_GB2312" w:cs="仿宋_GB2312"/>
          <w:i w:val="0"/>
          <w:caps w:val="0"/>
          <w:color w:val="333333"/>
          <w:spacing w:val="0"/>
          <w:kern w:val="0"/>
          <w:sz w:val="32"/>
          <w:szCs w:val="32"/>
          <w:lang w:val="en-US" w:eastAsia="zh-CN" w:bidi="ar"/>
        </w:rPr>
      </w:pPr>
      <w:r>
        <w:rPr>
          <w:rFonts w:hint="default" w:ascii="仿宋_GB2312" w:hAnsi="仿宋_GB2312" w:eastAsia="仿宋_GB2312" w:cs="仿宋_GB2312"/>
          <w:i w:val="0"/>
          <w:caps w:val="0"/>
          <w:color w:val="333333"/>
          <w:spacing w:val="0"/>
          <w:kern w:val="0"/>
          <w:sz w:val="32"/>
          <w:szCs w:val="32"/>
          <w:lang w:val="en-US" w:eastAsia="zh-CN" w:bidi="ar"/>
        </w:rPr>
        <w:t>2013年3月6日</w:t>
      </w:r>
      <w:r>
        <w:rPr>
          <w:rFonts w:hint="eastAsia" w:ascii="仿宋_GB2312" w:hAnsi="仿宋_GB2312" w:eastAsia="仿宋_GB2312" w:cs="仿宋_GB2312"/>
          <w:i w:val="0"/>
          <w:caps w:val="0"/>
          <w:color w:val="333333"/>
          <w:spacing w:val="0"/>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default" w:ascii="仿宋_GB2312" w:hAnsi="仿宋_GB2312" w:eastAsia="仿宋_GB2312" w:cs="仿宋_GB2312"/>
          <w:i w:val="0"/>
          <w:caps w:val="0"/>
          <w:color w:val="333333"/>
          <w:spacing w:val="0"/>
          <w:kern w:val="0"/>
          <w:sz w:val="32"/>
          <w:szCs w:val="32"/>
          <w:lang w:val="en-US" w:eastAsia="zh-CN" w:bidi="ar"/>
        </w:rPr>
      </w:pPr>
      <w:r>
        <w:rPr>
          <w:rFonts w:hint="default" w:ascii="仿宋_GB2312" w:hAnsi="仿宋_GB2312" w:eastAsia="仿宋_GB2312" w:cs="仿宋_GB2312"/>
          <w:i w:val="0"/>
          <w:caps w:val="0"/>
          <w:color w:val="333333"/>
          <w:spacing w:val="0"/>
          <w:kern w:val="0"/>
          <w:sz w:val="32"/>
          <w:szCs w:val="32"/>
          <w:lang w:val="en-US" w:eastAsia="zh-CN" w:bidi="ar"/>
        </w:rPr>
        <w:t>    （公开属性：主动公开）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方正小标宋_GBK" w:hAnsi="方正小标宋_GBK" w:eastAsia="方正小标宋_GBK" w:cs="方正小标宋_GBK"/>
          <w:i w:val="0"/>
          <w:caps w:val="0"/>
          <w:color w:val="333333"/>
          <w:spacing w:val="0"/>
          <w:sz w:val="44"/>
          <w:szCs w:val="44"/>
        </w:rPr>
      </w:pPr>
      <w:bookmarkStart w:id="0" w:name="_GoBack"/>
      <w:r>
        <w:rPr>
          <w:rFonts w:hint="eastAsia" w:ascii="方正小标宋_GBK" w:hAnsi="方正小标宋_GBK" w:eastAsia="方正小标宋_GBK" w:cs="方正小标宋_GBK"/>
          <w:i w:val="0"/>
          <w:caps w:val="0"/>
          <w:color w:val="333333"/>
          <w:spacing w:val="0"/>
          <w:kern w:val="0"/>
          <w:sz w:val="44"/>
          <w:szCs w:val="44"/>
          <w:lang w:val="en-US" w:eastAsia="zh-CN" w:bidi="ar"/>
        </w:rPr>
        <w:t>全省麻醉药品和第一类精神药品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333333"/>
          <w:spacing w:val="0"/>
          <w:kern w:val="0"/>
          <w:sz w:val="44"/>
          <w:szCs w:val="44"/>
          <w:lang w:val="en-US" w:eastAsia="zh-CN" w:bidi="ar"/>
        </w:rPr>
        <w:t>区域性批发企业调整方案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根据国家食品药品监管局《关于调整麻醉药品和第一类精神药品区域性批发企业布局的通知》（国食药监安〔2012〕362号）要求，省局决定对全省麻醉药品和第一类精神药品区域性批发企业进行调整,特制定以下调整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一、调整目的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进一步提高麻醉药品和第一类精神药品经营集中度，优先选择实力强、规模大、覆盖广、管理规范、信誉度高的药品批发企业为麻醉药品和第一类精神药品定点企业，努力提高药品经营质量和安全管理水平。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二、调整原则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严格按照国家局麻醉药品和第一类精神药品区域性批发企业布局规定及条件要求，根据企业经营规模（包括销售额及经营药品品规数）、医疗机构覆盖面、基本药物配送情况、仓储物流配送条件（包括技术人员配备、配送半径及配送响应时间等）、信息化管理水平等指标，结合日常监管、药品安全信用等级、特殊药品和药品类易制毒化学品管理、是否有严重违法违规行为等情况选择定点批发企业，适当兼顾麻醉药品和第一类精神药品经营经验。各设区市定点批发企业数只减不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三、调整步骤和时间安排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本次调整工作将在2013年6月30日前完成，分调查摸底和组织申报、筹建或整改、检查验收和综合评定四个阶段进行。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一）调查摸底和组织申报阶段（3月10日-4月10日）。各设区市局对辖区内人口情况、现有麻醉药品和第一类精神药品定点批发企业近3年销售额进行调查，并对照国家局布局规定和申报条件，按照省局确定的定点批发企业数量(附表1)，组织辖区内符合条件的企业积极申报，填报《基本情况调查表》（附表2），截止收件时间为4月10日,并严格按照调整原则要求确定推荐上报次序，上报数量原则上不得超过省局规定的数量，特殊情况下可再推荐1家候补企业,并附具体理由。建议定点企业名单必须以正式文件形式上报，有关附表随文上报。省局将根据各设区市局推荐上报企业的情况，对照国家局规定的条件及调整原则，确定入围企业名单，并在省局网站上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二）建设或整改阶段（4月10日-5月10日）。各设区市局根据省局确定的入围企业名单,指导辖区原无定点资格的入围企业按照《麻醉药品和第一类精神药品区域性批发企业验收标准》进行硬件建设和软件建设；督促原有定点资格的入围企业整改。在建设或整改完成后，指导企业按照《麻醉药品和精神药品经营管理办法》进行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（三）检查验收阶段（5月10日-31日）。省局组织对申报企业的现场检查工作,设区市局负责企业存在缺陷的监督整改。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（四）综合评定阶段（6月1日-30日）。省局根据检查验收情况，综合各方面因素，确定定点企业名单，在省局网站公示后予以批准。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四、调整工作要求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（一）麻醉药品和第一类精神药品批发企业调整工作政策性强、涉及面广、要求严，各级食品药品监管部门要按照公平、公开、公正的要求，严肃认真地做好每一阶段工作，确保调整工作顺利进行。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二）对未重新取得麻醉药品和第一类精神药品定点经营资格的企业，自2013年7月1日起不得继续经营上述药品，各企业应按规定办理许可证经营范围变更手续。库存的麻醉药品和第一类精神药品由所在地食品药品监管局监督调剂到辖区内有资格的企业经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（三）新取得麻醉药品和第一类精神药品定点经营资格的企业要强化竞争意识、服务意识，认真做好经营工作，切实加强安全管理，确保满足临床需要，严防发生流弊事件。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附表1：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各设区市麻醉药品和第一类精神药品批发企业布局数量</w:t>
      </w:r>
    </w:p>
    <w:tbl>
      <w:tblPr>
        <w:tblStyle w:val="4"/>
        <w:tblW w:w="85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8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6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地区</w:t>
            </w:r>
          </w:p>
        </w:tc>
        <w:tc>
          <w:tcPr>
            <w:tcW w:w="685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麻醉药品和第一类精神药品批发企业布局数量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福州</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厦门</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漳州</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泉州</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三明</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莆田</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南平</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龙岩</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6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宁德</w:t>
            </w:r>
          </w:p>
        </w:tc>
        <w:tc>
          <w:tcPr>
            <w:tcW w:w="6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7"/>
                <w:szCs w:val="27"/>
              </w:rPr>
            </w:pPr>
            <w:r>
              <w:rPr>
                <w:rFonts w:ascii="宋体" w:hAnsi="宋体" w:eastAsia="宋体" w:cs="宋体"/>
                <w:kern w:val="0"/>
                <w:sz w:val="27"/>
                <w:szCs w:val="27"/>
                <w:lang w:val="en-US" w:eastAsia="zh-CN" w:bidi="ar"/>
              </w:rPr>
              <w:t>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附表2：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申报麻醉药品和第一类精神药品定点企业基本情况表</w:t>
      </w:r>
    </w:p>
    <w:tbl>
      <w:tblPr>
        <w:tblStyle w:val="4"/>
        <w:tblW w:w="8344" w:type="dxa"/>
        <w:jc w:val="center"/>
        <w:shd w:val="clear" w:color="auto" w:fill="auto"/>
        <w:tblLayout w:type="fixed"/>
        <w:tblCellMar>
          <w:top w:w="0" w:type="dxa"/>
          <w:left w:w="0" w:type="dxa"/>
          <w:bottom w:w="0" w:type="dxa"/>
          <w:right w:w="0" w:type="dxa"/>
        </w:tblCellMar>
      </w:tblPr>
      <w:tblGrid>
        <w:gridCol w:w="1128"/>
        <w:gridCol w:w="475"/>
        <w:gridCol w:w="10"/>
        <w:gridCol w:w="209"/>
        <w:gridCol w:w="12"/>
        <w:gridCol w:w="1629"/>
        <w:gridCol w:w="163"/>
        <w:gridCol w:w="1017"/>
        <w:gridCol w:w="167"/>
        <w:gridCol w:w="1008"/>
        <w:gridCol w:w="323"/>
        <w:gridCol w:w="171"/>
        <w:gridCol w:w="664"/>
        <w:gridCol w:w="525"/>
        <w:gridCol w:w="843"/>
      </w:tblGrid>
      <w:tr>
        <w:tblPrEx>
          <w:shd w:val="clear" w:color="auto" w:fill="auto"/>
          <w:tblCellMar>
            <w:top w:w="0" w:type="dxa"/>
            <w:left w:w="0" w:type="dxa"/>
            <w:bottom w:w="0" w:type="dxa"/>
            <w:right w:w="0" w:type="dxa"/>
          </w:tblCellMar>
        </w:tblPrEx>
        <w:trPr>
          <w:trHeight w:val="437" w:hRule="atLeast"/>
          <w:jc w:val="center"/>
        </w:trPr>
        <w:tc>
          <w:tcPr>
            <w:tcW w:w="1613" w:type="dxa"/>
            <w:gridSpan w:val="3"/>
            <w:tcBorders>
              <w:top w:val="single" w:color="auto" w:sz="8" w:space="0"/>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企业名称</w:t>
            </w:r>
          </w:p>
        </w:tc>
        <w:tc>
          <w:tcPr>
            <w:tcW w:w="6731" w:type="dxa"/>
            <w:gridSpan w:val="12"/>
            <w:tcBorders>
              <w:top w:val="single" w:color="auto" w:sz="8" w:space="0"/>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380" w:hRule="atLeast"/>
          <w:jc w:val="center"/>
        </w:trPr>
        <w:tc>
          <w:tcPr>
            <w:tcW w:w="1613" w:type="dxa"/>
            <w:gridSpan w:val="3"/>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经营范围</w:t>
            </w:r>
          </w:p>
        </w:tc>
        <w:tc>
          <w:tcPr>
            <w:tcW w:w="6731" w:type="dxa"/>
            <w:gridSpan w:val="12"/>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380" w:hRule="atLeast"/>
          <w:jc w:val="center"/>
        </w:trPr>
        <w:tc>
          <w:tcPr>
            <w:tcW w:w="1613" w:type="dxa"/>
            <w:gridSpan w:val="3"/>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现经营情况</w:t>
            </w:r>
          </w:p>
        </w:tc>
        <w:tc>
          <w:tcPr>
            <w:tcW w:w="6731" w:type="dxa"/>
            <w:gridSpan w:val="12"/>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（包括：经营品种数、 品规数、基本药物配送中标等）</w:t>
            </w:r>
          </w:p>
        </w:tc>
      </w:tr>
      <w:tr>
        <w:tblPrEx>
          <w:tblCellMar>
            <w:top w:w="0" w:type="dxa"/>
            <w:left w:w="0" w:type="dxa"/>
            <w:bottom w:w="0" w:type="dxa"/>
            <w:right w:w="0" w:type="dxa"/>
          </w:tblCellMar>
        </w:tblPrEx>
        <w:trPr>
          <w:trHeight w:val="360" w:hRule="atLeast"/>
          <w:jc w:val="center"/>
        </w:trPr>
        <w:tc>
          <w:tcPr>
            <w:tcW w:w="8344" w:type="dxa"/>
            <w:gridSpan w:val="15"/>
            <w:tcBorders>
              <w:top w:val="nil"/>
              <w:left w:val="single" w:color="auto" w:sz="8" w:space="0"/>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经营规模/本省辖市医疗机构覆盖情况/本省辖市基本药物配送情况</w:t>
            </w:r>
          </w:p>
        </w:tc>
      </w:tr>
      <w:tr>
        <w:tblPrEx>
          <w:tblCellMar>
            <w:top w:w="0" w:type="dxa"/>
            <w:left w:w="0" w:type="dxa"/>
            <w:bottom w:w="0" w:type="dxa"/>
            <w:right w:w="0" w:type="dxa"/>
          </w:tblCellMar>
        </w:tblPrEx>
        <w:trPr>
          <w:trHeight w:val="360" w:hRule="atLeast"/>
          <w:jc w:val="center"/>
        </w:trPr>
        <w:tc>
          <w:tcPr>
            <w:tcW w:w="1834" w:type="dxa"/>
            <w:gridSpan w:val="5"/>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项目</w:t>
            </w:r>
          </w:p>
        </w:tc>
        <w:tc>
          <w:tcPr>
            <w:tcW w:w="1792" w:type="dxa"/>
            <w:gridSpan w:val="2"/>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2010年</w:t>
            </w:r>
          </w:p>
        </w:tc>
        <w:tc>
          <w:tcPr>
            <w:tcW w:w="101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20"/>
              <w:jc w:val="center"/>
              <w:rPr>
                <w:sz w:val="27"/>
                <w:szCs w:val="27"/>
              </w:rPr>
            </w:pPr>
            <w:r>
              <w:rPr>
                <w:rFonts w:ascii="宋体" w:hAnsi="宋体" w:eastAsia="宋体" w:cs="宋体"/>
                <w:kern w:val="0"/>
                <w:sz w:val="27"/>
                <w:szCs w:val="27"/>
                <w:lang w:val="en-US" w:eastAsia="zh-CN" w:bidi="ar"/>
              </w:rPr>
              <w:t>2011年</w:t>
            </w:r>
          </w:p>
        </w:tc>
        <w:tc>
          <w:tcPr>
            <w:tcW w:w="117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20"/>
              <w:jc w:val="center"/>
              <w:rPr>
                <w:sz w:val="27"/>
                <w:szCs w:val="27"/>
              </w:rPr>
            </w:pPr>
            <w:r>
              <w:rPr>
                <w:rFonts w:ascii="宋体" w:hAnsi="宋体" w:eastAsia="宋体" w:cs="宋体"/>
                <w:kern w:val="0"/>
                <w:sz w:val="27"/>
                <w:szCs w:val="27"/>
                <w:lang w:val="en-US" w:eastAsia="zh-CN" w:bidi="ar"/>
              </w:rPr>
              <w:t>2012年</w:t>
            </w:r>
          </w:p>
        </w:tc>
        <w:tc>
          <w:tcPr>
            <w:tcW w:w="1158" w:type="dxa"/>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平均</w:t>
            </w:r>
          </w:p>
        </w:tc>
        <w:tc>
          <w:tcPr>
            <w:tcW w:w="1368" w:type="dxa"/>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地区排名</w:t>
            </w:r>
          </w:p>
        </w:tc>
      </w:tr>
      <w:tr>
        <w:tblPrEx>
          <w:tblCellMar>
            <w:top w:w="0" w:type="dxa"/>
            <w:left w:w="0" w:type="dxa"/>
            <w:bottom w:w="0" w:type="dxa"/>
            <w:right w:w="0" w:type="dxa"/>
          </w:tblCellMar>
        </w:tblPrEx>
        <w:trPr>
          <w:trHeight w:val="360" w:hRule="atLeast"/>
          <w:jc w:val="center"/>
        </w:trPr>
        <w:tc>
          <w:tcPr>
            <w:tcW w:w="1834" w:type="dxa"/>
            <w:gridSpan w:val="5"/>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年销售额</w:t>
            </w:r>
          </w:p>
        </w:tc>
        <w:tc>
          <w:tcPr>
            <w:tcW w:w="1792" w:type="dxa"/>
            <w:gridSpan w:val="2"/>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c>
          <w:tcPr>
            <w:tcW w:w="101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7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58" w:type="dxa"/>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368" w:type="dxa"/>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360" w:hRule="atLeast"/>
          <w:jc w:val="center"/>
        </w:trPr>
        <w:tc>
          <w:tcPr>
            <w:tcW w:w="1834" w:type="dxa"/>
            <w:gridSpan w:val="5"/>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利税总额</w:t>
            </w:r>
          </w:p>
        </w:tc>
        <w:tc>
          <w:tcPr>
            <w:tcW w:w="1792" w:type="dxa"/>
            <w:gridSpan w:val="2"/>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c>
          <w:tcPr>
            <w:tcW w:w="101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7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58" w:type="dxa"/>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368" w:type="dxa"/>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360" w:hRule="atLeast"/>
          <w:jc w:val="center"/>
        </w:trPr>
        <w:tc>
          <w:tcPr>
            <w:tcW w:w="1834" w:type="dxa"/>
            <w:gridSpan w:val="5"/>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资产负债率</w:t>
            </w:r>
          </w:p>
        </w:tc>
        <w:tc>
          <w:tcPr>
            <w:tcW w:w="1792" w:type="dxa"/>
            <w:gridSpan w:val="2"/>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c>
          <w:tcPr>
            <w:tcW w:w="101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7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58" w:type="dxa"/>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368" w:type="dxa"/>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273" w:hRule="atLeast"/>
          <w:jc w:val="center"/>
        </w:trPr>
        <w:tc>
          <w:tcPr>
            <w:tcW w:w="1822" w:type="dxa"/>
            <w:gridSpan w:val="4"/>
            <w:tcBorders>
              <w:top w:val="nil"/>
              <w:left w:val="single" w:color="auto" w:sz="8" w:space="0"/>
              <w:bottom w:val="nil"/>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医疗机构覆盖数</w:t>
            </w:r>
          </w:p>
        </w:tc>
        <w:tc>
          <w:tcPr>
            <w:tcW w:w="1804" w:type="dxa"/>
            <w:gridSpan w:val="3"/>
            <w:tcBorders>
              <w:top w:val="nil"/>
              <w:left w:val="nil"/>
              <w:bottom w:val="nil"/>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017" w:type="dxa"/>
            <w:tcBorders>
              <w:top w:val="nil"/>
              <w:left w:val="nil"/>
              <w:bottom w:val="nil"/>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75" w:type="dxa"/>
            <w:gridSpan w:val="2"/>
            <w:tcBorders>
              <w:top w:val="nil"/>
              <w:left w:val="nil"/>
              <w:bottom w:val="nil"/>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58" w:type="dxa"/>
            <w:gridSpan w:val="3"/>
            <w:tcBorders>
              <w:top w:val="nil"/>
              <w:left w:val="nil"/>
              <w:bottom w:val="nil"/>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368" w:type="dxa"/>
            <w:gridSpan w:val="2"/>
            <w:tcBorders>
              <w:top w:val="nil"/>
              <w:left w:val="nil"/>
              <w:bottom w:val="nil"/>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250" w:hRule="atLeast"/>
          <w:jc w:val="center"/>
        </w:trPr>
        <w:tc>
          <w:tcPr>
            <w:tcW w:w="1822" w:type="dxa"/>
            <w:gridSpan w:val="4"/>
            <w:tcBorders>
              <w:top w:val="single" w:color="auto" w:sz="8" w:space="0"/>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医疗机构销售额</w:t>
            </w:r>
          </w:p>
        </w:tc>
        <w:tc>
          <w:tcPr>
            <w:tcW w:w="1804" w:type="dxa"/>
            <w:gridSpan w:val="3"/>
            <w:tcBorders>
              <w:top w:val="single" w:color="auto" w:sz="8" w:space="0"/>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c>
          <w:tcPr>
            <w:tcW w:w="101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75" w:type="dxa"/>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58" w:type="dxa"/>
            <w:gridSpan w:val="3"/>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368" w:type="dxa"/>
            <w:gridSpan w:val="2"/>
            <w:tcBorders>
              <w:top w:val="single" w:color="auto" w:sz="8" w:space="0"/>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360" w:hRule="atLeast"/>
          <w:jc w:val="center"/>
        </w:trPr>
        <w:tc>
          <w:tcPr>
            <w:tcW w:w="1822" w:type="dxa"/>
            <w:gridSpan w:val="4"/>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基层医疗机构数</w:t>
            </w:r>
          </w:p>
        </w:tc>
        <w:tc>
          <w:tcPr>
            <w:tcW w:w="1804" w:type="dxa"/>
            <w:gridSpan w:val="3"/>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c>
          <w:tcPr>
            <w:tcW w:w="101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7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58" w:type="dxa"/>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368" w:type="dxa"/>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360" w:hRule="atLeast"/>
          <w:jc w:val="center"/>
        </w:trPr>
        <w:tc>
          <w:tcPr>
            <w:tcW w:w="1822" w:type="dxa"/>
            <w:gridSpan w:val="4"/>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配送金额</w:t>
            </w:r>
          </w:p>
        </w:tc>
        <w:tc>
          <w:tcPr>
            <w:tcW w:w="1804" w:type="dxa"/>
            <w:gridSpan w:val="3"/>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c>
          <w:tcPr>
            <w:tcW w:w="101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7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58" w:type="dxa"/>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368" w:type="dxa"/>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360" w:hRule="atLeast"/>
          <w:jc w:val="center"/>
        </w:trPr>
        <w:tc>
          <w:tcPr>
            <w:tcW w:w="1822" w:type="dxa"/>
            <w:gridSpan w:val="4"/>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麻醉药品和第一类精神药品销售情况（万元）</w:t>
            </w:r>
          </w:p>
        </w:tc>
        <w:tc>
          <w:tcPr>
            <w:tcW w:w="1804" w:type="dxa"/>
            <w:gridSpan w:val="3"/>
            <w:tcBorders>
              <w:top w:val="nil"/>
              <w:left w:val="nil"/>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w:t>
            </w:r>
          </w:p>
        </w:tc>
        <w:tc>
          <w:tcPr>
            <w:tcW w:w="101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7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158" w:type="dxa"/>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368" w:type="dxa"/>
            <w:gridSpan w:val="2"/>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360" w:hRule="atLeast"/>
          <w:jc w:val="center"/>
        </w:trPr>
        <w:tc>
          <w:tcPr>
            <w:tcW w:w="8344" w:type="dxa"/>
            <w:gridSpan w:val="15"/>
            <w:tcBorders>
              <w:top w:val="nil"/>
              <w:left w:val="single" w:color="auto" w:sz="8" w:space="0"/>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仓储物流条件及信息化管理系统</w:t>
            </w:r>
          </w:p>
        </w:tc>
      </w:tr>
      <w:tr>
        <w:tblPrEx>
          <w:tblCellMar>
            <w:top w:w="0" w:type="dxa"/>
            <w:left w:w="0" w:type="dxa"/>
            <w:bottom w:w="0" w:type="dxa"/>
            <w:right w:w="0" w:type="dxa"/>
          </w:tblCellMar>
        </w:tblPrEx>
        <w:trPr>
          <w:trHeight w:val="323" w:hRule="atLeast"/>
          <w:jc w:val="center"/>
        </w:trPr>
        <w:tc>
          <w:tcPr>
            <w:tcW w:w="1128" w:type="dxa"/>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总人数</w:t>
            </w:r>
          </w:p>
        </w:tc>
        <w:tc>
          <w:tcPr>
            <w:tcW w:w="2335" w:type="dxa"/>
            <w:gridSpan w:val="5"/>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个</w:t>
            </w:r>
          </w:p>
        </w:tc>
        <w:tc>
          <w:tcPr>
            <w:tcW w:w="1347" w:type="dxa"/>
            <w:gridSpan w:val="3"/>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技术人员数</w:t>
            </w:r>
          </w:p>
        </w:tc>
        <w:tc>
          <w:tcPr>
            <w:tcW w:w="133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个</w:t>
            </w:r>
          </w:p>
        </w:tc>
        <w:tc>
          <w:tcPr>
            <w:tcW w:w="1360" w:type="dxa"/>
            <w:gridSpan w:val="3"/>
            <w:tcBorders>
              <w:top w:val="nil"/>
              <w:left w:val="nil"/>
              <w:bottom w:val="single" w:color="auto" w:sz="8" w:space="0"/>
              <w:right w:val="nil"/>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质量管理人数</w:t>
            </w:r>
          </w:p>
        </w:tc>
        <w:tc>
          <w:tcPr>
            <w:tcW w:w="843" w:type="dxa"/>
            <w:tcBorders>
              <w:top w:val="nil"/>
              <w:left w:val="single" w:color="auto" w:sz="8" w:space="0"/>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个</w:t>
            </w:r>
          </w:p>
        </w:tc>
      </w:tr>
      <w:tr>
        <w:tblPrEx>
          <w:tblCellMar>
            <w:top w:w="0" w:type="dxa"/>
            <w:left w:w="0" w:type="dxa"/>
            <w:bottom w:w="0" w:type="dxa"/>
            <w:right w:w="0" w:type="dxa"/>
          </w:tblCellMar>
        </w:tblPrEx>
        <w:trPr>
          <w:trHeight w:val="323" w:hRule="atLeast"/>
          <w:jc w:val="center"/>
        </w:trPr>
        <w:tc>
          <w:tcPr>
            <w:tcW w:w="1128" w:type="dxa"/>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总面积</w:t>
            </w:r>
          </w:p>
        </w:tc>
        <w:tc>
          <w:tcPr>
            <w:tcW w:w="2335" w:type="dxa"/>
            <w:gridSpan w:val="5"/>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        平方米</w:t>
            </w:r>
          </w:p>
        </w:tc>
        <w:tc>
          <w:tcPr>
            <w:tcW w:w="1347" w:type="dxa"/>
            <w:gridSpan w:val="3"/>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产权</w:t>
            </w:r>
          </w:p>
        </w:tc>
        <w:tc>
          <w:tcPr>
            <w:tcW w:w="133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自建/ 承租</w:t>
            </w:r>
          </w:p>
        </w:tc>
        <w:tc>
          <w:tcPr>
            <w:tcW w:w="1360" w:type="dxa"/>
            <w:gridSpan w:val="3"/>
            <w:tcBorders>
              <w:top w:val="nil"/>
              <w:left w:val="nil"/>
              <w:bottom w:val="single" w:color="auto" w:sz="8" w:space="0"/>
              <w:right w:val="nil"/>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仓库货架</w:t>
            </w:r>
          </w:p>
        </w:tc>
        <w:tc>
          <w:tcPr>
            <w:tcW w:w="843" w:type="dxa"/>
            <w:tcBorders>
              <w:top w:val="nil"/>
              <w:left w:val="single" w:color="auto" w:sz="8" w:space="0"/>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层</w:t>
            </w:r>
          </w:p>
        </w:tc>
      </w:tr>
      <w:tr>
        <w:tblPrEx>
          <w:tblCellMar>
            <w:top w:w="0" w:type="dxa"/>
            <w:left w:w="0" w:type="dxa"/>
            <w:bottom w:w="0" w:type="dxa"/>
            <w:right w:w="0" w:type="dxa"/>
          </w:tblCellMar>
        </w:tblPrEx>
        <w:trPr>
          <w:trHeight w:val="286" w:hRule="atLeast"/>
          <w:jc w:val="center"/>
        </w:trPr>
        <w:tc>
          <w:tcPr>
            <w:tcW w:w="1128" w:type="dxa"/>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常温库面积</w:t>
            </w:r>
          </w:p>
        </w:tc>
        <w:tc>
          <w:tcPr>
            <w:tcW w:w="2335" w:type="dxa"/>
            <w:gridSpan w:val="5"/>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平方米</w:t>
            </w:r>
          </w:p>
        </w:tc>
        <w:tc>
          <w:tcPr>
            <w:tcW w:w="1347" w:type="dxa"/>
            <w:gridSpan w:val="3"/>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自动分拣系统</w:t>
            </w:r>
          </w:p>
        </w:tc>
        <w:tc>
          <w:tcPr>
            <w:tcW w:w="133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 （有/无）</w:t>
            </w:r>
          </w:p>
        </w:tc>
        <w:tc>
          <w:tcPr>
            <w:tcW w:w="1360" w:type="dxa"/>
            <w:gridSpan w:val="3"/>
            <w:tcBorders>
              <w:top w:val="nil"/>
              <w:left w:val="nil"/>
              <w:bottom w:val="single" w:color="auto" w:sz="8" w:space="0"/>
              <w:right w:val="nil"/>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高架货位</w:t>
            </w:r>
          </w:p>
        </w:tc>
        <w:tc>
          <w:tcPr>
            <w:tcW w:w="843" w:type="dxa"/>
            <w:tcBorders>
              <w:top w:val="nil"/>
              <w:left w:val="single" w:color="auto" w:sz="8" w:space="0"/>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个</w:t>
            </w:r>
          </w:p>
        </w:tc>
      </w:tr>
      <w:tr>
        <w:tblPrEx>
          <w:tblCellMar>
            <w:top w:w="0" w:type="dxa"/>
            <w:left w:w="0" w:type="dxa"/>
            <w:bottom w:w="0" w:type="dxa"/>
            <w:right w:w="0" w:type="dxa"/>
          </w:tblCellMar>
        </w:tblPrEx>
        <w:trPr>
          <w:trHeight w:val="262" w:hRule="atLeast"/>
          <w:jc w:val="center"/>
        </w:trPr>
        <w:tc>
          <w:tcPr>
            <w:tcW w:w="1128" w:type="dxa"/>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特药库面积</w:t>
            </w:r>
          </w:p>
        </w:tc>
        <w:tc>
          <w:tcPr>
            <w:tcW w:w="2335" w:type="dxa"/>
            <w:gridSpan w:val="5"/>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平方米</w:t>
            </w:r>
          </w:p>
        </w:tc>
        <w:tc>
          <w:tcPr>
            <w:tcW w:w="1347" w:type="dxa"/>
            <w:gridSpan w:val="3"/>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自动堆垛机</w:t>
            </w:r>
          </w:p>
        </w:tc>
        <w:tc>
          <w:tcPr>
            <w:tcW w:w="133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（有/无）　</w:t>
            </w:r>
          </w:p>
        </w:tc>
        <w:tc>
          <w:tcPr>
            <w:tcW w:w="1360" w:type="dxa"/>
            <w:gridSpan w:val="3"/>
            <w:tcBorders>
              <w:top w:val="nil"/>
              <w:left w:val="nil"/>
              <w:bottom w:val="single" w:color="auto" w:sz="8" w:space="0"/>
              <w:right w:val="nil"/>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电动铲车数</w:t>
            </w:r>
          </w:p>
        </w:tc>
        <w:tc>
          <w:tcPr>
            <w:tcW w:w="843" w:type="dxa"/>
            <w:tcBorders>
              <w:top w:val="nil"/>
              <w:left w:val="single" w:color="auto" w:sz="8" w:space="0"/>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台</w:t>
            </w:r>
          </w:p>
        </w:tc>
      </w:tr>
      <w:tr>
        <w:tblPrEx>
          <w:tblCellMar>
            <w:top w:w="0" w:type="dxa"/>
            <w:left w:w="0" w:type="dxa"/>
            <w:bottom w:w="0" w:type="dxa"/>
            <w:right w:w="0" w:type="dxa"/>
          </w:tblCellMar>
        </w:tblPrEx>
        <w:trPr>
          <w:trHeight w:val="262" w:hRule="atLeast"/>
          <w:jc w:val="center"/>
        </w:trPr>
        <w:tc>
          <w:tcPr>
            <w:tcW w:w="1128" w:type="dxa"/>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配送车辆</w:t>
            </w:r>
          </w:p>
        </w:tc>
        <w:tc>
          <w:tcPr>
            <w:tcW w:w="2335" w:type="dxa"/>
            <w:gridSpan w:val="5"/>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辆</w:t>
            </w:r>
          </w:p>
        </w:tc>
        <w:tc>
          <w:tcPr>
            <w:tcW w:w="1347" w:type="dxa"/>
            <w:gridSpan w:val="3"/>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冷藏车辆</w:t>
            </w:r>
          </w:p>
        </w:tc>
        <w:tc>
          <w:tcPr>
            <w:tcW w:w="1331"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辆</w:t>
            </w:r>
          </w:p>
        </w:tc>
        <w:tc>
          <w:tcPr>
            <w:tcW w:w="1360" w:type="dxa"/>
            <w:gridSpan w:val="3"/>
            <w:tcBorders>
              <w:top w:val="nil"/>
              <w:left w:val="nil"/>
              <w:bottom w:val="single" w:color="auto" w:sz="8" w:space="0"/>
              <w:right w:val="nil"/>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封闭货车</w:t>
            </w:r>
          </w:p>
        </w:tc>
        <w:tc>
          <w:tcPr>
            <w:tcW w:w="843" w:type="dxa"/>
            <w:tcBorders>
              <w:top w:val="nil"/>
              <w:left w:val="single" w:color="auto" w:sz="8" w:space="0"/>
              <w:bottom w:val="single" w:color="auto" w:sz="8" w:space="0"/>
              <w:right w:val="single" w:color="000000"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辆</w:t>
            </w:r>
          </w:p>
        </w:tc>
      </w:tr>
      <w:tr>
        <w:tblPrEx>
          <w:tblCellMar>
            <w:top w:w="0" w:type="dxa"/>
            <w:left w:w="0" w:type="dxa"/>
            <w:bottom w:w="0" w:type="dxa"/>
            <w:right w:w="0" w:type="dxa"/>
          </w:tblCellMar>
        </w:tblPrEx>
        <w:trPr>
          <w:trHeight w:val="262" w:hRule="atLeast"/>
          <w:jc w:val="center"/>
        </w:trPr>
        <w:tc>
          <w:tcPr>
            <w:tcW w:w="1128" w:type="dxa"/>
            <w:tcBorders>
              <w:top w:val="nil"/>
              <w:left w:val="single" w:color="auto" w:sz="8" w:space="0"/>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配送半径</w:t>
            </w:r>
          </w:p>
        </w:tc>
        <w:tc>
          <w:tcPr>
            <w:tcW w:w="3682" w:type="dxa"/>
            <w:gridSpan w:val="8"/>
            <w:tcBorders>
              <w:top w:val="nil"/>
              <w:left w:val="nil"/>
              <w:bottom w:val="single" w:color="auto" w:sz="8" w:space="0"/>
              <w:right w:val="single" w:color="auto" w:sz="8" w:space="0"/>
            </w:tcBorders>
            <w:shd w:val="clear" w:color="auto" w:fill="auto"/>
            <w:tcMar>
              <w:top w:w="19" w:type="dxa"/>
              <w:left w:w="19" w:type="dxa"/>
              <w:right w:w="19"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c>
          <w:tcPr>
            <w:tcW w:w="1502" w:type="dxa"/>
            <w:gridSpan w:val="3"/>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7"/>
                <w:szCs w:val="27"/>
              </w:rPr>
            </w:pPr>
            <w:r>
              <w:rPr>
                <w:rFonts w:ascii="宋体" w:hAnsi="宋体" w:eastAsia="宋体" w:cs="宋体"/>
                <w:kern w:val="0"/>
                <w:sz w:val="27"/>
                <w:szCs w:val="27"/>
                <w:lang w:val="en-US" w:eastAsia="zh-CN" w:bidi="ar"/>
              </w:rPr>
              <w:t>配送响应时间</w:t>
            </w:r>
          </w:p>
        </w:tc>
        <w:tc>
          <w:tcPr>
            <w:tcW w:w="2032" w:type="dxa"/>
            <w:gridSpan w:val="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435" w:hRule="atLeast"/>
          <w:jc w:val="center"/>
        </w:trPr>
        <w:tc>
          <w:tcPr>
            <w:tcW w:w="1603" w:type="dxa"/>
            <w:gridSpan w:val="2"/>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经营管理系统</w:t>
            </w:r>
          </w:p>
        </w:tc>
        <w:tc>
          <w:tcPr>
            <w:tcW w:w="3040" w:type="dxa"/>
            <w:gridSpan w:val="6"/>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ERP        （有/无）</w:t>
            </w:r>
          </w:p>
        </w:tc>
        <w:tc>
          <w:tcPr>
            <w:tcW w:w="1669" w:type="dxa"/>
            <w:gridSpan w:val="4"/>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仓储管理系统</w:t>
            </w:r>
          </w:p>
        </w:tc>
        <w:tc>
          <w:tcPr>
            <w:tcW w:w="2032" w:type="dxa"/>
            <w:gridSpan w:val="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WMS    （有/无）</w:t>
            </w:r>
          </w:p>
        </w:tc>
      </w:tr>
      <w:tr>
        <w:tblPrEx>
          <w:tblCellMar>
            <w:top w:w="0" w:type="dxa"/>
            <w:left w:w="0" w:type="dxa"/>
            <w:bottom w:w="0" w:type="dxa"/>
            <w:right w:w="0" w:type="dxa"/>
          </w:tblCellMar>
        </w:tblPrEx>
        <w:trPr>
          <w:trHeight w:val="435" w:hRule="atLeast"/>
          <w:jc w:val="center"/>
        </w:trPr>
        <w:tc>
          <w:tcPr>
            <w:tcW w:w="1603" w:type="dxa"/>
            <w:gridSpan w:val="2"/>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拟确定的供药责任区域(县\区)</w:t>
            </w:r>
          </w:p>
        </w:tc>
        <w:tc>
          <w:tcPr>
            <w:tcW w:w="6741" w:type="dxa"/>
            <w:gridSpan w:val="13"/>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5719" w:hRule="atLeast"/>
          <w:jc w:val="center"/>
        </w:trPr>
        <w:tc>
          <w:tcPr>
            <w:tcW w:w="8344" w:type="dxa"/>
            <w:gridSpan w:val="15"/>
            <w:tcBorders>
              <w:top w:val="nil"/>
              <w:left w:val="single" w:color="auto" w:sz="8" w:space="0"/>
              <w:bottom w:val="single" w:color="auto"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本企业成为麻醉药品第一类精神药品批发企业的理由及优势：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tc>
      </w:tr>
      <w:tr>
        <w:tblPrEx>
          <w:tblCellMar>
            <w:top w:w="0" w:type="dxa"/>
            <w:left w:w="0" w:type="dxa"/>
            <w:bottom w:w="0" w:type="dxa"/>
            <w:right w:w="0" w:type="dxa"/>
          </w:tblCellMar>
        </w:tblPrEx>
        <w:trPr>
          <w:trHeight w:val="5455" w:hRule="atLeast"/>
          <w:jc w:val="center"/>
        </w:trPr>
        <w:tc>
          <w:tcPr>
            <w:tcW w:w="8344" w:type="dxa"/>
            <w:gridSpan w:val="15"/>
            <w:tcBorders>
              <w:top w:val="nil"/>
              <w:left w:val="single" w:color="auto" w:sz="8" w:space="0"/>
              <w:bottom w:val="single" w:color="auto"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市局监管情况及推荐意见：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sz w:val="27"/>
                <w:szCs w:val="27"/>
              </w:rPr>
            </w:pPr>
            <w:r>
              <w:rPr>
                <w:rFonts w:ascii="宋体" w:hAnsi="宋体" w:eastAsia="宋体" w:cs="宋体"/>
                <w:kern w:val="0"/>
                <w:sz w:val="27"/>
                <w:szCs w:val="27"/>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15"/>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填报人：                      单位： （签章）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国家食品药品监督管理局关于调整麻醉药品和第一类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精神药品区域性批发企业布局的通知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国食药监安[2012]362号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各省、自治区、直辖市食品药品监督管理局（药品监督管理局）：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根据《麻醉药品和精神药品管理条例》的有关规定，2006年，国家局公布了在各省（区、市）行政区域内从事麻醉药品和第一类精神药品批发业务的企业（以下称区域性批发企业）布局。几年来，各省级食品药品监管部门按照国家局规定的布局严格审批区域性批发企业，并切实强化日常监管，麻精药品的经营秩序得到进一步规范，医疗需求得到有效保障。但是，在国家局组织开展的监督检查中也发现，部分区域性批发企业在麻精药品安全管理、履行供药责任等方面存在一定问题，个别地区区域性批发企业数量多，经营过于分散。针对上述问题，结合近年来麻精药品需求总量变化情况，为进一步提高麻精药品经营和安全管理水平，更好地满足医疗需求，国家局对区域性批发企业的布局进行了调整(见附件1)。请各省级食品药品监管部门按照本通知规定的布局对本行政区域内的区域性批发企业重新实施定点，对不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合布局规定和要求的予以调整。现将有关要求通知如下：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一、各省级食品药品监管部门要高度重视、周密部署，结合本地实际制定具体实施方案，确保区域性批发企业调整工作的顺利进行，并采取有效措施保障调整期间麻醉药品和第一类精神药品安全管理和供应。通过调整，要在进一步提高麻醉药品和第一类精神药品安全管理水平和经营集中度的基础上，在本省（区、市）行政区域内，鼓励逐步打破地区界限，促进适度竞争，改善供药环境，更好地为满足医疗需求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二、各省级食品药品监管部门应当根据布局规定，事先公告，明确受理截止时限，并根据申报企业经营规模、经营质量管理水平、市场占有率和服务范围等指标综合评定，择优确定定点经营企业。具备5年以上麻醉药品和第一类精神药品经营经验的企业在同等条件下优先考虑。具体申报条件和验收标准见附件2和附件3。</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对符合条件准予定点的企业，应当按照《麻醉药品和精神药品经营管理办法（试行）》的规定，办理定点经营手续。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三、对有下列情形之一的企业，不予定点：</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（一）企业及工作人员近2年有违反有关禁毒法律法规规定行为的；</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（二）企业近5年曾因违反有关规定，被食品药品监管部门撤销区域性批发企业资格的；</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（三）现有区域性批发企业未保证供药责任区域内麻醉药品和第一类精神药品供应的。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5"/>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四、取得定点经营资格的企业在保证供药责任区域内医疗机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构药品供应的同时，可以向本省（区、市）行政区域内取得麻醉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药品和第一类精神药品购用印鉴卡的医疗机构销售麻醉药品和第一类精神药品。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五、区域性批发企业调整工作应当于2013年6月30日前完成。现有区域性批发企业经调整后未取得定点经营资格的，不得再经营麻醉药品和第一类精神药品，库存麻醉药品和第一类精神药品按照有关规定妥善处理。</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请各省级食品药品监管部门及时将本行政区域内的区域性批发企业名单报国家局备案并通过政府网站对外公布。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附件：1．麻醉药品和第一类精神药品区域性批发企业布局</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2．麻醉药品和第一类精神药品区域性批发企业申报条件</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3．麻醉药品和第一类精神药品区域性批发企业验收标准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国家食品药品监督管理局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2012年12月10日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05" w:lineRule="atLeast"/>
        <w:ind w:left="0" w:right="0" w:firstLine="0"/>
        <w:jc w:val="left"/>
        <w:rPr>
          <w:rFonts w:hint="default" w:ascii="Arial" w:hAnsi="Arial" w:cs="Arial"/>
          <w:i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640" w:right="0" w:hanging="64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附件1</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麻醉药品和第一类精神药品区域性批发企业布局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640" w:right="0" w:hanging="64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以设区的市级行政区域为单位，近3年麻醉药品和第一类精神药品年均消费额（以医疗机构购进金额计）在1000万元（含）以上且常住人口在500万（含）以上的，可设立不超过3家区域性批发企业；年均消费额在500万元（含）以上1000万元以下，或年均消费额在1000万元以上但常住人口不足500万的，可设立不超过2家；其他设区的市如需设立的，应不超过1家，对交通便利、本省（区、市）行政区域内其他区域性批发企业能够安全配送并保证供应的，可不设立区域性批发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北京、天津和上海市可设立不超过3家区域性批发企业；重庆市不超过16家，其中市区不超过2家。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对因配送半径长或交通不便等特殊原因，确实难以保障医疗机构用药需求的地区，省级食品药品监管部门可根据实际情况适度增设区域性批发企业。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80" w:lineRule="atLeast"/>
        <w:ind w:left="0" w:right="0" w:firstLine="0"/>
        <w:jc w:val="left"/>
        <w:rPr>
          <w:rFonts w:hint="default" w:ascii="Arial" w:hAnsi="Arial" w:cs="Arial"/>
          <w:i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附件2</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麻醉药品和第一类精神药品区域性批发企业申报条件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一、企业依法取得《药品经营许可证》、《企业法人营业执照》和《药品经营质量管理规范认证证书》，并连续经营药品3年以上。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二、企业药品年销售总额、利税总额和资产负债率水平在所在设区的市位居前列。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三、企业有完善的质量管理体系，日常管理规范，服务质量和经营信誉水平领先，有相应的资金开展麻醉药品和第一类精神药品经营活动。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四、企业药品销售医疗机构覆盖面和药品配送能力在所在设区的市位居前列。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80" w:lineRule="atLeast"/>
        <w:ind w:left="0" w:right="0" w:firstLine="0"/>
        <w:jc w:val="left"/>
        <w:rPr>
          <w:rFonts w:hint="default" w:ascii="Arial" w:hAnsi="Arial" w:cs="Arial"/>
          <w:i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320" w:right="0" w:hanging="32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附件3</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麻醉药品和第一类精神药品区域性批发企业验收标准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一、企业法定代表人是麻精药品经营安全管理第一责任人。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二、设立与麻醉药品和第一类精神药品经营和安全管理相适应的组织机构或岗位，明确规定其职责、权限及相互关系。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三、指定责任心强，业务熟悉，认真负责的专职人员负责麻醉药品和第一类精神药品管理，从事麻醉药品和第一类精神药品管理的人员应当具备医药相关专业大学专科以上学历或中级以上专业技术职称，熟悉特殊药品管理相关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四、建立岗位培训制度，对从事麻醉药品和第一类精神药品经营的人员进行培训，培训时间不少于10个课时，并保存相应记录。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五、具备实施药品电子监管的条件，按照规定核注核销。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六、制定麻醉药品和第一类精神药品采购、收货、验收、储存、养护、销售、出库、配送、运输、邮寄、报残损、销毁制度及用户核查、丢失被盗案件报告、24小时值班巡查、监控情况记录等管理制度。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七、制定麻醉药品和第一类精神药品流向跟踪核查制度，能够有效防止骗购、套购等行为发生。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八、设置麻醉药品和第一类精神药品专库。专库应当符合麻精药品储存要求，安装有防火设施、监控设施和报警装置，报警装置与公安机关报警系统联网。制定专库管理制度。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九、具备将麻醉药品和第一类精神药品配送至相应区域内医疗机构的条件，并符合国家有关运输的规定。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十、建立安全评价机制，定期对安全制度执行情况进行考核，对安全设施、设备进行检查、保养、维护和验证。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512" w:firstLine="32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福建省食品药品监督管理局办公室    2013年3月6日印发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B3F8C"/>
    <w:rsid w:val="BD54A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陈茂盛</cp:lastModifiedBy>
  <dcterms:modified xsi:type="dcterms:W3CDTF">2023-10-10T23:18:25Z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